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546"/>
        <w:tblW w:w="5001" w:type="pct"/>
        <w:tblLook w:val="04A0" w:firstRow="1" w:lastRow="0" w:firstColumn="1" w:lastColumn="0" w:noHBand="0" w:noVBand="1"/>
      </w:tblPr>
      <w:tblGrid>
        <w:gridCol w:w="486"/>
        <w:gridCol w:w="2468"/>
        <w:gridCol w:w="6090"/>
      </w:tblGrid>
      <w:tr w:rsidR="00B548A7" w:rsidRPr="00B548A7" w14:paraId="2903FF6A" w14:textId="77777777" w:rsidTr="000B05C7">
        <w:trPr>
          <w:trHeight w:val="56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66B735" w14:textId="77777777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  <w:r w:rsidRPr="00B548A7">
              <w:rPr>
                <w:b/>
              </w:rPr>
              <w:t>Warunki ogólne:</w:t>
            </w:r>
          </w:p>
          <w:p w14:paraId="4B8F4558" w14:textId="2490F95E" w:rsidR="00B548A7" w:rsidRPr="00B548A7" w:rsidRDefault="00B548A7" w:rsidP="003D4474">
            <w:pPr>
              <w:spacing w:line="259" w:lineRule="auto"/>
            </w:pPr>
            <w:r w:rsidRPr="00B548A7">
              <w:t>1. Wymagana jest oferta na wszystkie urządzenia zawarte w pakiecie. Zamawiający nie dopuszcza ofert częściowych.</w:t>
            </w:r>
            <w:r w:rsidR="003D4474">
              <w:t xml:space="preserve"> Urządzenia muszą być ze sobą kompatybilne.</w:t>
            </w:r>
          </w:p>
          <w:p w14:paraId="526419AF" w14:textId="77777777" w:rsidR="00B548A7" w:rsidRPr="00B548A7" w:rsidRDefault="00B548A7" w:rsidP="003D4474">
            <w:pPr>
              <w:spacing w:line="259" w:lineRule="auto"/>
            </w:pPr>
            <w:r w:rsidRPr="00B548A7">
              <w:t>2. Gwarancja: minimalne warunki gwarancji podane zostały każdorazowo przy opisie wymogów.</w:t>
            </w:r>
          </w:p>
          <w:p w14:paraId="653A2ACF" w14:textId="77777777" w:rsidR="00B548A7" w:rsidRPr="00B548A7" w:rsidRDefault="00B548A7" w:rsidP="003D4474">
            <w:pPr>
              <w:spacing w:line="259" w:lineRule="auto"/>
            </w:pPr>
            <w:r w:rsidRPr="00B548A7">
              <w:t>3. Termin dostawy: do 5 tygodni od daty wystawienia zamówienia</w:t>
            </w:r>
          </w:p>
          <w:p w14:paraId="0389380C" w14:textId="2DDE4130" w:rsidR="00B548A7" w:rsidRPr="00B548A7" w:rsidRDefault="00B548A7" w:rsidP="003D4474">
            <w:pPr>
              <w:spacing w:line="259" w:lineRule="auto"/>
            </w:pPr>
            <w:r w:rsidRPr="00B548A7">
              <w:t xml:space="preserve">4. Wymagane są: dostawa opisanych urządzeń (wraz z wniesieniem na </w:t>
            </w:r>
            <w:r w:rsidR="001156E7">
              <w:t>III</w:t>
            </w:r>
            <w:r w:rsidRPr="00B548A7">
              <w:t xml:space="preserve"> piętro w budynku), instalacja i uruchomienie, szkolenie pracowników i pomoc techniczna przez cały okres gwarancji przez podmiot posiadający autoryzację producenta na ww. czynności.</w:t>
            </w:r>
          </w:p>
          <w:p w14:paraId="4237C69A" w14:textId="77777777" w:rsidR="00B548A7" w:rsidRPr="00B548A7" w:rsidRDefault="00B548A7" w:rsidP="003D4474">
            <w:pPr>
              <w:spacing w:line="259" w:lineRule="auto"/>
            </w:pPr>
            <w:r w:rsidRPr="00B548A7">
              <w:t>5. Warunki płatności: Przelew w ciągu 30 dni od daty wystawienia faktury obejmującej zrealizowany etap dostawy.</w:t>
            </w:r>
          </w:p>
          <w:p w14:paraId="70CADC28" w14:textId="77777777" w:rsidR="00B548A7" w:rsidRPr="00B548A7" w:rsidRDefault="00B548A7" w:rsidP="003D4474">
            <w:pPr>
              <w:spacing w:line="259" w:lineRule="auto"/>
            </w:pPr>
            <w:r w:rsidRPr="00B548A7">
              <w:t>6. Do oferty należy załączyć:</w:t>
            </w:r>
          </w:p>
          <w:p w14:paraId="316CDF0C" w14:textId="77777777" w:rsidR="00B548A7" w:rsidRPr="00B548A7" w:rsidRDefault="00B548A7" w:rsidP="003D4474">
            <w:pPr>
              <w:spacing w:line="259" w:lineRule="auto"/>
            </w:pPr>
            <w:r w:rsidRPr="00B548A7">
              <w:t>a) oświadczenie oferenta, że wszystkie urządzenia są fabrycznie nowe. Wyklucza się urządzenia demonstracyjne, używane, składane z używanych części lub modyfikowane.</w:t>
            </w:r>
          </w:p>
          <w:p w14:paraId="38B59438" w14:textId="77777777" w:rsidR="00B548A7" w:rsidRPr="00B548A7" w:rsidRDefault="00B548A7" w:rsidP="003D4474">
            <w:pPr>
              <w:spacing w:line="259" w:lineRule="auto"/>
            </w:pPr>
            <w:r w:rsidRPr="00B548A7">
              <w:t>b) foldery/prospekty  oferowanych urządzeń potwierdzające spełnianie wymaganych parametrów technicznych (preferowany język polski, dopuszczony język angielski).</w:t>
            </w:r>
          </w:p>
        </w:tc>
      </w:tr>
      <w:tr w:rsidR="00B548A7" w:rsidRPr="00B548A7" w14:paraId="099BDF6B" w14:textId="77777777" w:rsidTr="000B05C7">
        <w:trPr>
          <w:trHeight w:val="567"/>
        </w:trPr>
        <w:tc>
          <w:tcPr>
            <w:tcW w:w="250" w:type="pct"/>
            <w:tcBorders>
              <w:left w:val="double" w:sz="4" w:space="0" w:color="auto"/>
            </w:tcBorders>
            <w:vAlign w:val="center"/>
          </w:tcPr>
          <w:p w14:paraId="196A3B89" w14:textId="77777777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r w:rsidRPr="00B548A7">
              <w:rPr>
                <w:b/>
              </w:rPr>
              <w:t>Lp.</w:t>
            </w:r>
          </w:p>
        </w:tc>
        <w:tc>
          <w:tcPr>
            <w:tcW w:w="1374" w:type="pct"/>
            <w:vAlign w:val="center"/>
          </w:tcPr>
          <w:p w14:paraId="1B7AA8D3" w14:textId="77777777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r w:rsidRPr="00B548A7">
              <w:rPr>
                <w:b/>
              </w:rPr>
              <w:t>Nazwa urządzenia</w:t>
            </w:r>
          </w:p>
        </w:tc>
        <w:tc>
          <w:tcPr>
            <w:tcW w:w="3376" w:type="pct"/>
            <w:tcBorders>
              <w:right w:val="double" w:sz="4" w:space="0" w:color="auto"/>
            </w:tcBorders>
            <w:vAlign w:val="center"/>
          </w:tcPr>
          <w:p w14:paraId="4BAB6704" w14:textId="77777777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r w:rsidRPr="00B548A7">
              <w:rPr>
                <w:b/>
              </w:rPr>
              <w:t>Minimalne wymagania techniczne</w:t>
            </w:r>
          </w:p>
        </w:tc>
      </w:tr>
      <w:tr w:rsidR="00B548A7" w:rsidRPr="00B548A7" w14:paraId="09519578" w14:textId="77777777" w:rsidTr="003D4474">
        <w:trPr>
          <w:trHeight w:val="4101"/>
        </w:trPr>
        <w:tc>
          <w:tcPr>
            <w:tcW w:w="250" w:type="pct"/>
            <w:tcBorders>
              <w:left w:val="double" w:sz="4" w:space="0" w:color="auto"/>
            </w:tcBorders>
          </w:tcPr>
          <w:p w14:paraId="3BD6D2FB" w14:textId="77777777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r w:rsidRPr="00B548A7">
              <w:rPr>
                <w:b/>
              </w:rPr>
              <w:t>1.</w:t>
            </w:r>
          </w:p>
        </w:tc>
        <w:tc>
          <w:tcPr>
            <w:tcW w:w="1374" w:type="pct"/>
          </w:tcPr>
          <w:p w14:paraId="3B68A91F" w14:textId="6F256A84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r w:rsidRPr="00B548A7">
              <w:rPr>
                <w:b/>
              </w:rPr>
              <w:t>Urządzenie do spiralnego posiewu bakterii</w:t>
            </w:r>
          </w:p>
        </w:tc>
        <w:tc>
          <w:tcPr>
            <w:tcW w:w="3376" w:type="pct"/>
            <w:tcBorders>
              <w:right w:val="double" w:sz="4" w:space="0" w:color="auto"/>
            </w:tcBorders>
            <w:vAlign w:val="center"/>
          </w:tcPr>
          <w:p w14:paraId="68D7BB46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Tryby posiewu: wykładniczy, kolisty i stały</w:t>
            </w:r>
          </w:p>
          <w:p w14:paraId="37384C90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Obsługa szalek </w:t>
            </w:r>
            <w:proofErr w:type="spellStart"/>
            <w:r w:rsidRPr="00B548A7">
              <w:rPr>
                <w:rFonts w:ascii="Calibri" w:eastAsia="Calibri" w:hAnsi="Calibri" w:cs="Times New Roman"/>
              </w:rPr>
              <w:t>Petriego</w:t>
            </w:r>
            <w:proofErr w:type="spellEnd"/>
            <w:r w:rsidRPr="00B548A7">
              <w:rPr>
                <w:rFonts w:ascii="Calibri" w:eastAsia="Calibri" w:hAnsi="Calibri" w:cs="Times New Roman"/>
              </w:rPr>
              <w:t xml:space="preserve"> o wymiarach 90 mm i 150 mm</w:t>
            </w:r>
          </w:p>
          <w:p w14:paraId="05DE0BE1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Wstępnie ustawione objętości posiewów: 50, 100 lub 200 </w:t>
            </w:r>
            <w:r w:rsidRPr="00B548A7">
              <w:rPr>
                <w:rFonts w:ascii="Calibri" w:eastAsia="Calibri" w:hAnsi="Calibri" w:cs="Calibri"/>
              </w:rPr>
              <w:t>µ</w:t>
            </w:r>
            <w:r w:rsidRPr="00B548A7">
              <w:rPr>
                <w:rFonts w:ascii="Calibri" w:eastAsia="Calibri" w:hAnsi="Calibri" w:cs="Times New Roman"/>
              </w:rPr>
              <w:t>l</w:t>
            </w:r>
          </w:p>
          <w:p w14:paraId="327A68DE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Zakres pomiaru: 100 do 1x10</w:t>
            </w:r>
            <w:r w:rsidRPr="00B548A7">
              <w:rPr>
                <w:rFonts w:ascii="Calibri" w:eastAsia="Calibri" w:hAnsi="Calibri" w:cs="Times New Roman"/>
                <w:vertAlign w:val="superscript"/>
              </w:rPr>
              <w:t>7</w:t>
            </w:r>
            <w:r w:rsidRPr="00B548A7">
              <w:rPr>
                <w:rFonts w:ascii="Calibri" w:eastAsia="Calibri" w:hAnsi="Calibri" w:cs="Times New Roman"/>
              </w:rPr>
              <w:t xml:space="preserve"> CFU/ml</w:t>
            </w:r>
          </w:p>
          <w:p w14:paraId="1D15D3FC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Programowalne objętości posiewów w zakresie 10 do 1000 </w:t>
            </w:r>
            <w:r w:rsidRPr="00B548A7">
              <w:rPr>
                <w:rFonts w:ascii="Calibri" w:eastAsia="Calibri" w:hAnsi="Calibri" w:cs="Calibri"/>
              </w:rPr>
              <w:t>µ</w:t>
            </w:r>
            <w:r w:rsidRPr="00B548A7">
              <w:rPr>
                <w:rFonts w:ascii="Calibri" w:eastAsia="Calibri" w:hAnsi="Calibri" w:cs="Times New Roman"/>
              </w:rPr>
              <w:t>l</w:t>
            </w:r>
          </w:p>
          <w:p w14:paraId="69721B06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Tryb posiewu wykładniczego: 4 rozcieńczenia na płytce 90 mm / 6 rozcieńczeń na płytce 140/150 mm</w:t>
            </w:r>
          </w:p>
          <w:p w14:paraId="5983A306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Dokładność objętości: +/- 0,5% (w trybie normalnym)</w:t>
            </w:r>
          </w:p>
          <w:p w14:paraId="2A1201F6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Pojemność strzykawki: 1000 </w:t>
            </w:r>
            <w:r w:rsidRPr="00B548A7">
              <w:rPr>
                <w:rFonts w:ascii="Calibri" w:eastAsia="Calibri" w:hAnsi="Calibri" w:cs="Calibri"/>
              </w:rPr>
              <w:t>µ</w:t>
            </w:r>
            <w:r w:rsidRPr="00B548A7">
              <w:rPr>
                <w:rFonts w:ascii="Calibri" w:eastAsia="Calibri" w:hAnsi="Calibri" w:cs="Times New Roman"/>
              </w:rPr>
              <w:t>l</w:t>
            </w:r>
          </w:p>
          <w:p w14:paraId="0FE1F99C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Czas posiewu: 8 sekund</w:t>
            </w:r>
          </w:p>
          <w:p w14:paraId="6B3194D6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Cykl posiewu: 1x dezynfekcja, 1x pobranie próbki, 1x posiew: 25 sekund</w:t>
            </w:r>
          </w:p>
          <w:p w14:paraId="6827B44D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Możliwość kolejnych posiewów z jednej próbki: do 20 płytek (przy obj. 50 </w:t>
            </w:r>
            <w:r w:rsidRPr="00B548A7">
              <w:rPr>
                <w:rFonts w:ascii="Calibri" w:eastAsia="Calibri" w:hAnsi="Calibri" w:cs="Calibri"/>
              </w:rPr>
              <w:t>µ</w:t>
            </w:r>
            <w:r w:rsidRPr="00B548A7">
              <w:rPr>
                <w:rFonts w:ascii="Calibri" w:eastAsia="Calibri" w:hAnsi="Calibri" w:cs="Times New Roman"/>
              </w:rPr>
              <w:t>l)</w:t>
            </w:r>
          </w:p>
          <w:p w14:paraId="563CD0CD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Wielofunkcyjna, </w:t>
            </w:r>
            <w:proofErr w:type="spellStart"/>
            <w:r w:rsidRPr="00B548A7">
              <w:rPr>
                <w:rFonts w:ascii="Calibri" w:eastAsia="Calibri" w:hAnsi="Calibri" w:cs="Times New Roman"/>
              </w:rPr>
              <w:t>autoklawowalna</w:t>
            </w:r>
            <w:proofErr w:type="spellEnd"/>
            <w:r w:rsidRPr="00B548A7">
              <w:rPr>
                <w:rFonts w:ascii="Calibri" w:eastAsia="Calibri" w:hAnsi="Calibri" w:cs="Times New Roman"/>
              </w:rPr>
              <w:t xml:space="preserve"> igła</w:t>
            </w:r>
          </w:p>
          <w:p w14:paraId="762338B6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Czyszczenie i dezynfekcja igły poprzez „</w:t>
            </w:r>
            <w:proofErr w:type="spellStart"/>
            <w:r w:rsidRPr="00B548A7">
              <w:rPr>
                <w:rFonts w:ascii="Calibri" w:eastAsia="Calibri" w:hAnsi="Calibri" w:cs="Times New Roman"/>
              </w:rPr>
              <w:t>overflow</w:t>
            </w:r>
            <w:proofErr w:type="spellEnd"/>
            <w:r w:rsidRPr="00B548A7">
              <w:rPr>
                <w:rFonts w:ascii="Calibri" w:eastAsia="Calibri" w:hAnsi="Calibri" w:cs="Times New Roman"/>
              </w:rPr>
              <w:t>”. Ciśnienie: do 8 barów</w:t>
            </w:r>
          </w:p>
          <w:p w14:paraId="4043A211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Możliwość dezynfekcji za pomocą: 70% etanol, 1-5% roztwór wody utlenionej, 0,05-1% kwas PAA</w:t>
            </w:r>
          </w:p>
          <w:p w14:paraId="7DAD3B11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System ostrzegania w przypadku braku </w:t>
            </w:r>
            <w:proofErr w:type="spellStart"/>
            <w:r w:rsidRPr="00B548A7">
              <w:rPr>
                <w:rFonts w:ascii="Calibri" w:eastAsia="Calibri" w:hAnsi="Calibri" w:cs="Times New Roman"/>
              </w:rPr>
              <w:t>dezynfektantu</w:t>
            </w:r>
            <w:proofErr w:type="spellEnd"/>
            <w:r w:rsidRPr="00B548A7">
              <w:rPr>
                <w:rFonts w:ascii="Calibri" w:eastAsia="Calibri" w:hAnsi="Calibri" w:cs="Times New Roman"/>
              </w:rPr>
              <w:t xml:space="preserve"> w zbiorniku</w:t>
            </w:r>
          </w:p>
          <w:p w14:paraId="79BFF3A8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Pojemnik na dezynfektant: 2L</w:t>
            </w:r>
          </w:p>
          <w:p w14:paraId="53F3773B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Pojemnik na wodę: 2L</w:t>
            </w:r>
          </w:p>
          <w:p w14:paraId="3E31EE5F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Wykonanie ze stali nierdzewnej</w:t>
            </w:r>
          </w:p>
          <w:p w14:paraId="1C92877C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Obsługa poprzez mikroprocesor</w:t>
            </w:r>
          </w:p>
          <w:p w14:paraId="3C6452C6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Szybkoobrotowe ramię</w:t>
            </w:r>
          </w:p>
          <w:p w14:paraId="6FC84EA4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lastRenderedPageBreak/>
              <w:t>Łatwość podłączenia do PC za pomocą USB</w:t>
            </w:r>
          </w:p>
          <w:p w14:paraId="727DEC2D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Możliwość exportu danych do Excel, LIMS</w:t>
            </w:r>
          </w:p>
          <w:p w14:paraId="63DA6B43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Kompatybilność z licznikiem kolonii (szybki </w:t>
            </w:r>
            <w:proofErr w:type="spellStart"/>
            <w:r w:rsidRPr="00B548A7">
              <w:rPr>
                <w:rFonts w:ascii="Calibri" w:eastAsia="Calibri" w:hAnsi="Calibri" w:cs="Times New Roman"/>
              </w:rPr>
              <w:t>przesył</w:t>
            </w:r>
            <w:proofErr w:type="spellEnd"/>
            <w:r w:rsidRPr="00B548A7">
              <w:rPr>
                <w:rFonts w:ascii="Calibri" w:eastAsia="Calibri" w:hAnsi="Calibri" w:cs="Times New Roman"/>
              </w:rPr>
              <w:t xml:space="preserve"> danych do urządzenia)</w:t>
            </w:r>
          </w:p>
          <w:p w14:paraId="4D51DF5A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 xml:space="preserve">Pobieranie  próbki z naczyń typu </w:t>
            </w:r>
            <w:proofErr w:type="spellStart"/>
            <w:r w:rsidRPr="00B548A7">
              <w:rPr>
                <w:rFonts w:ascii="Calibri" w:eastAsia="Calibri" w:hAnsi="Calibri" w:cs="Times New Roman"/>
              </w:rPr>
              <w:t>Eppendorf</w:t>
            </w:r>
            <w:proofErr w:type="spellEnd"/>
            <w:r w:rsidRPr="00B548A7">
              <w:rPr>
                <w:rFonts w:ascii="Calibri" w:eastAsia="Calibri" w:hAnsi="Calibri" w:cs="Times New Roman"/>
              </w:rPr>
              <w:t>: 0,5/1,5/2 ml</w:t>
            </w:r>
          </w:p>
          <w:p w14:paraId="58F25CC1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Wymiary urządzenia: nie większe niż (</w:t>
            </w:r>
            <w:proofErr w:type="spellStart"/>
            <w:r w:rsidRPr="00B548A7">
              <w:rPr>
                <w:rFonts w:ascii="Calibri" w:eastAsia="Calibri" w:hAnsi="Calibri" w:cs="Times New Roman"/>
              </w:rPr>
              <w:t>sz</w:t>
            </w:r>
            <w:proofErr w:type="spellEnd"/>
            <w:r w:rsidRPr="00B548A7">
              <w:rPr>
                <w:rFonts w:ascii="Calibri" w:eastAsia="Calibri" w:hAnsi="Calibri" w:cs="Times New Roman"/>
              </w:rPr>
              <w:t xml:space="preserve"> x g x wys.) 40x 41,5x 29</w:t>
            </w:r>
          </w:p>
          <w:p w14:paraId="64DD48E1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Waga urządzenia: nie większa niż 16,5 kg</w:t>
            </w:r>
          </w:p>
          <w:p w14:paraId="1841C7BE" w14:textId="77777777" w:rsidR="00B548A7" w:rsidRPr="00B548A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Gwarancja producenta: minimum 12 miesięcy</w:t>
            </w:r>
          </w:p>
          <w:p w14:paraId="392CDE1B" w14:textId="6A383415" w:rsidR="00B548A7" w:rsidRPr="001156E7" w:rsidRDefault="00B548A7" w:rsidP="00B548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548A7">
              <w:rPr>
                <w:rFonts w:ascii="Calibri" w:eastAsia="Calibri" w:hAnsi="Calibri" w:cs="Times New Roman"/>
              </w:rPr>
              <w:t>W pakiecie z urządzeniem: instrukcja w języku polskim lub angielskim, igła do posiewów, kabel zasilający, niezbędne akcesoria, pakiet podstawowych odczynników i akcesoriów, detergent kompatybilny dla systemu</w:t>
            </w:r>
          </w:p>
        </w:tc>
      </w:tr>
      <w:tr w:rsidR="00B548A7" w:rsidRPr="00B548A7" w14:paraId="57C4ECE9" w14:textId="77777777" w:rsidTr="000B05C7">
        <w:trPr>
          <w:trHeight w:val="567"/>
        </w:trPr>
        <w:tc>
          <w:tcPr>
            <w:tcW w:w="250" w:type="pct"/>
            <w:tcBorders>
              <w:left w:val="double" w:sz="4" w:space="0" w:color="auto"/>
            </w:tcBorders>
          </w:tcPr>
          <w:p w14:paraId="19DFC00A" w14:textId="77777777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r w:rsidRPr="00B548A7">
              <w:rPr>
                <w:b/>
              </w:rPr>
              <w:lastRenderedPageBreak/>
              <w:t xml:space="preserve">2. </w:t>
            </w:r>
          </w:p>
        </w:tc>
        <w:tc>
          <w:tcPr>
            <w:tcW w:w="1374" w:type="pct"/>
          </w:tcPr>
          <w:p w14:paraId="37D6EFE3" w14:textId="154C28C5" w:rsidR="00B548A7" w:rsidRPr="00B548A7" w:rsidRDefault="00B548A7" w:rsidP="00B548A7">
            <w:pPr>
              <w:spacing w:after="160" w:line="259" w:lineRule="auto"/>
              <w:rPr>
                <w:b/>
              </w:rPr>
            </w:pPr>
            <w:r w:rsidRPr="00B548A7">
              <w:rPr>
                <w:b/>
              </w:rPr>
              <w:t>Licznik kolonii</w:t>
            </w:r>
          </w:p>
        </w:tc>
        <w:tc>
          <w:tcPr>
            <w:tcW w:w="3376" w:type="pct"/>
            <w:tcBorders>
              <w:right w:val="double" w:sz="4" w:space="0" w:color="auto"/>
            </w:tcBorders>
            <w:vAlign w:val="center"/>
          </w:tcPr>
          <w:p w14:paraId="4D95FC95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Wykonanie ze stali nierdzewnej</w:t>
            </w:r>
          </w:p>
          <w:p w14:paraId="0E07CF7A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Aparat kolorowy CMOS</w:t>
            </w:r>
          </w:p>
          <w:p w14:paraId="5CAF2BA6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Soczewki M12</w:t>
            </w:r>
          </w:p>
          <w:p w14:paraId="472A5F36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Powiększenie x28</w:t>
            </w:r>
          </w:p>
          <w:p w14:paraId="3F9387A3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 xml:space="preserve">Rozdzielczość: 1 </w:t>
            </w:r>
            <w:proofErr w:type="spellStart"/>
            <w:r>
              <w:t>megapixel</w:t>
            </w:r>
            <w:proofErr w:type="spellEnd"/>
          </w:p>
          <w:p w14:paraId="19C75D12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Czas liczenia: do 1000 kolonii na sekundę</w:t>
            </w:r>
          </w:p>
          <w:p w14:paraId="104A41C0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Minimalna wielkość kolonii: 0,1 mm</w:t>
            </w:r>
          </w:p>
          <w:p w14:paraId="0BC91DCC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Technologia podświetlania: LED</w:t>
            </w:r>
          </w:p>
          <w:p w14:paraId="3D88D3AE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Systemy podświetlania: z góry, z dołu, białe lub czarne tło</w:t>
            </w:r>
          </w:p>
          <w:p w14:paraId="452D995F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Liczenie: automatyczne z kontrolą manualną</w:t>
            </w:r>
          </w:p>
          <w:p w14:paraId="01619F37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Liczenie z płytek 55-90 mm</w:t>
            </w:r>
          </w:p>
          <w:p w14:paraId="1925C252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 xml:space="preserve">Kompatybilność z urządzeniem </w:t>
            </w:r>
            <w:proofErr w:type="spellStart"/>
            <w:r>
              <w:t>EasySpiral</w:t>
            </w:r>
            <w:proofErr w:type="spellEnd"/>
            <w:r>
              <w:t xml:space="preserve"> Pro</w:t>
            </w:r>
          </w:p>
          <w:p w14:paraId="589C8640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Czytnik stref zahamowania wzrostu</w:t>
            </w:r>
          </w:p>
          <w:p w14:paraId="07D72F04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Automatyczne rozdzielanie skupisk kolonii</w:t>
            </w:r>
          </w:p>
          <w:p w14:paraId="65335B82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 xml:space="preserve">Możliwość eksportu danych w formatach: PDF, jpg, </w:t>
            </w:r>
            <w:proofErr w:type="spellStart"/>
            <w:r>
              <w:t>png</w:t>
            </w:r>
            <w:proofErr w:type="spellEnd"/>
            <w:r>
              <w:t xml:space="preserve">, </w:t>
            </w:r>
            <w:proofErr w:type="spellStart"/>
            <w:r>
              <w:t>bmp</w:t>
            </w:r>
            <w:proofErr w:type="spellEnd"/>
            <w:r>
              <w:t>, Excel</w:t>
            </w:r>
          </w:p>
          <w:p w14:paraId="7E4A66C2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Detekcja kolorów: 7 kolorów na jednej płytce + jeden kolor do wykluczenia</w:t>
            </w:r>
          </w:p>
          <w:p w14:paraId="07552D32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Możliwość podłączenia USB i LIMS</w:t>
            </w:r>
          </w:p>
          <w:p w14:paraId="69B38F6F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Wymiary maksymalne (</w:t>
            </w:r>
            <w:proofErr w:type="spellStart"/>
            <w:r>
              <w:t>sz</w:t>
            </w:r>
            <w:proofErr w:type="spellEnd"/>
            <w:r>
              <w:t xml:space="preserve"> x g x w): 29 x 27 x 30</w:t>
            </w:r>
          </w:p>
          <w:p w14:paraId="28927EFA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Waga maksymalna: 8,5kg</w:t>
            </w:r>
          </w:p>
          <w:p w14:paraId="171DF4A5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Gwarancja producenta: min. 36 miesięcy</w:t>
            </w:r>
          </w:p>
          <w:p w14:paraId="733F1DC7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Aktualizacja oprogramowania</w:t>
            </w:r>
          </w:p>
          <w:p w14:paraId="57665234" w14:textId="77777777" w:rsidR="00B548A7" w:rsidRDefault="00B548A7" w:rsidP="00B548A7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W pakiecie z urządzeniem: oprogramowanie, kabel zasilający, kabel łączący, 3 płytki kontrolne, instrukcja w języku polskim lub angielskim</w:t>
            </w:r>
          </w:p>
          <w:p w14:paraId="3005561A" w14:textId="77777777" w:rsidR="00B548A7" w:rsidRPr="00B548A7" w:rsidRDefault="00B548A7" w:rsidP="00B548A7"/>
        </w:tc>
      </w:tr>
    </w:tbl>
    <w:p w14:paraId="7AB653CE" w14:textId="77777777" w:rsidR="00175523" w:rsidRDefault="00175523"/>
    <w:sectPr w:rsidR="00175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18A1" w14:textId="77777777" w:rsidR="001A08D6" w:rsidRDefault="001A08D6" w:rsidP="00B548A7">
      <w:pPr>
        <w:spacing w:after="0" w:line="240" w:lineRule="auto"/>
      </w:pPr>
      <w:r>
        <w:separator/>
      </w:r>
    </w:p>
  </w:endnote>
  <w:endnote w:type="continuationSeparator" w:id="0">
    <w:p w14:paraId="148C2902" w14:textId="77777777" w:rsidR="001A08D6" w:rsidRDefault="001A08D6" w:rsidP="00B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DD" w14:textId="77777777" w:rsidR="00B548A7" w:rsidRDefault="00B54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02DC" w14:textId="77777777" w:rsidR="00B548A7" w:rsidRDefault="00B54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924" w14:textId="77777777" w:rsidR="00B548A7" w:rsidRDefault="00B54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A9D26" w14:textId="77777777" w:rsidR="001A08D6" w:rsidRDefault="001A08D6" w:rsidP="00B548A7">
      <w:pPr>
        <w:spacing w:after="0" w:line="240" w:lineRule="auto"/>
      </w:pPr>
      <w:r>
        <w:separator/>
      </w:r>
    </w:p>
  </w:footnote>
  <w:footnote w:type="continuationSeparator" w:id="0">
    <w:p w14:paraId="1968DC9B" w14:textId="77777777" w:rsidR="001A08D6" w:rsidRDefault="001A08D6" w:rsidP="00B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6929" w14:textId="77777777" w:rsidR="00B548A7" w:rsidRDefault="00B54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B3CFF" w14:textId="77777777" w:rsidR="00265A38" w:rsidRDefault="00B548A7">
    <w:pPr>
      <w:pStyle w:val="Nagwek"/>
    </w:pPr>
    <w:r>
      <w:t xml:space="preserve">WYMAGANIA ZASADNICZE                                                               Załącznik nr 2 do ogłoszenie nr 03/2020 </w:t>
    </w:r>
  </w:p>
  <w:p w14:paraId="2F05F67F" w14:textId="0A3B88E7" w:rsidR="00B548A7" w:rsidRDefault="00265A38">
    <w:pPr>
      <w:pStyle w:val="Nagwek"/>
    </w:pPr>
    <w:r>
      <w:t xml:space="preserve">                                                                                                                         Załącznik nr 2 do umowy 03/2020</w:t>
    </w:r>
    <w:r w:rsidR="00B548A7">
      <w:t xml:space="preserve"> </w:t>
    </w:r>
  </w:p>
  <w:p w14:paraId="4DB54FA2" w14:textId="0F46ED30" w:rsidR="00B548A7" w:rsidRDefault="00B548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869E" w14:textId="77777777" w:rsidR="00B548A7" w:rsidRDefault="00B54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31B5"/>
    <w:multiLevelType w:val="hybridMultilevel"/>
    <w:tmpl w:val="35CAF9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D57"/>
    <w:multiLevelType w:val="hybridMultilevel"/>
    <w:tmpl w:val="A36E2D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A7"/>
    <w:rsid w:val="001156E7"/>
    <w:rsid w:val="00175523"/>
    <w:rsid w:val="001A08D6"/>
    <w:rsid w:val="00265A38"/>
    <w:rsid w:val="003D4474"/>
    <w:rsid w:val="00B548A7"/>
    <w:rsid w:val="00E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6355"/>
  <w15:chartTrackingRefBased/>
  <w15:docId w15:val="{CD80DDBD-7A4C-47EF-AD83-7F04EEF8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8A7"/>
  </w:style>
  <w:style w:type="paragraph" w:styleId="Stopka">
    <w:name w:val="footer"/>
    <w:basedOn w:val="Normalny"/>
    <w:link w:val="StopkaZnak"/>
    <w:uiPriority w:val="99"/>
    <w:unhideWhenUsed/>
    <w:rsid w:val="00B5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8A7"/>
  </w:style>
  <w:style w:type="paragraph" w:styleId="Akapitzlist">
    <w:name w:val="List Paragraph"/>
    <w:basedOn w:val="Normalny"/>
    <w:uiPriority w:val="34"/>
    <w:qFormat/>
    <w:rsid w:val="00B548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Zasadnicze                                                                                                              Załącznik nr 2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Zasadnicze                                                                                                              Załącznik nr 2</dc:title>
  <dc:subject/>
  <dc:creator>Aleksandra Sikora</dc:creator>
  <cp:keywords/>
  <dc:description/>
  <cp:lastModifiedBy>Dorota Lieder</cp:lastModifiedBy>
  <cp:revision>2</cp:revision>
  <dcterms:created xsi:type="dcterms:W3CDTF">2020-10-06T11:48:00Z</dcterms:created>
  <dcterms:modified xsi:type="dcterms:W3CDTF">2020-10-06T11:48:00Z</dcterms:modified>
</cp:coreProperties>
</file>